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1AF" w:rsidRDefault="00E65947" w:rsidP="00E65947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Диаграмма 11</w:t>
      </w:r>
    </w:p>
    <w:p w:rsidR="00E65947" w:rsidRDefault="00E65947" w:rsidP="00E65947">
      <w:pPr>
        <w:jc w:val="right"/>
        <w:rPr>
          <w:rFonts w:ascii="Arial" w:hAnsi="Arial" w:cs="Arial"/>
          <w:sz w:val="24"/>
          <w:szCs w:val="24"/>
        </w:rPr>
      </w:pPr>
    </w:p>
    <w:p w:rsidR="00E65947" w:rsidRPr="00E65947" w:rsidRDefault="00E65947" w:rsidP="00E65947">
      <w:pPr>
        <w:jc w:val="right"/>
        <w:rPr>
          <w:rFonts w:ascii="Arial" w:hAnsi="Arial" w:cs="Arial"/>
          <w:sz w:val="24"/>
          <w:szCs w:val="24"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1657A8B4" wp14:editId="269DE4D1">
            <wp:extent cx="5940425" cy="6289898"/>
            <wp:effectExtent l="0" t="0" r="22225" b="1587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bookmarkEnd w:id="0"/>
    </w:p>
    <w:sectPr w:rsidR="00E65947" w:rsidRPr="00E659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947"/>
    <w:rsid w:val="001D2616"/>
    <w:rsid w:val="005821AF"/>
    <w:rsid w:val="00DF760A"/>
    <w:rsid w:val="00E65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59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59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59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59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\\BUDGET5\Users\Public\Documents\&#1048;&#1057;&#1055;&#1054;&#1051;&#1053;&#1045;&#1053;&#1048;&#1045;_2016%20&#1043;&#1054;&#1044;\&#1040;&#1085;&#1072;&#1083;&#1080;&#1090;&#1080;&#1095;&#1077;&#1089;&#1082;&#1080;&#1081;%20&#1084;&#1072;&#1090;&#1077;&#1088;&#1080;&#1072;&#1083;%20&#1076;&#1086;&#1093;&#1086;&#1076;&#1099;\&#1040;&#1085;&#1072;&#1083;&#1080;&#1090;&#1080;&#1095;&#1077;&#1089;&#1082;&#1080;&#1081;%20&#1084;&#1072;&#1090;&#1077;&#1088;&#1080;&#1072;&#1083;%20&#1087;&#1086;%20&#1076;&#1086;&#1093;&#1086;&#1076;&#1072;&#1084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 b="1" i="1" u="none" strike="noStrike" baseline="0">
                <a:solidFill>
                  <a:srgbClr val="000000"/>
                </a:solidFill>
                <a:latin typeface="Courier New"/>
                <a:ea typeface="Courier New"/>
                <a:cs typeface="Courier New"/>
              </a:defRPr>
            </a:pPr>
            <a:r>
              <a:rPr lang="ru-RU"/>
              <a:t>Динамика недоимки по налоговым платежам в бюджеты всех уровней по муниципальному образованию  г.Клинцы и  удельный вес ее в структуре начисленных налоговых платежей 
( тыс.руб.)</a:t>
            </a:r>
          </a:p>
        </c:rich>
      </c:tx>
      <c:layout>
        <c:manualLayout>
          <c:xMode val="edge"/>
          <c:yMode val="edge"/>
          <c:x val="0.11802648772203331"/>
          <c:y val="1.6770871120784698E-3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1423219156428976"/>
          <c:y val="0.17532637224694739"/>
          <c:w val="0.88397949035215662"/>
          <c:h val="0.44714610817448269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'Диаграмма 11'!$A$3</c:f>
              <c:strCache>
                <c:ptCount val="1"/>
                <c:pt idx="0">
                  <c:v>в т.ч.недоимка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'Диаграмма 11'!$B$1:$C$1</c:f>
              <c:numCache>
                <c:formatCode>General</c:formatCode>
                <c:ptCount val="2"/>
                <c:pt idx="0">
                  <c:v>2015</c:v>
                </c:pt>
                <c:pt idx="1">
                  <c:v>2016</c:v>
                </c:pt>
              </c:numCache>
            </c:numRef>
          </c:cat>
          <c:val>
            <c:numRef>
              <c:f>'Диаграмма 11'!$B$3:$C$3</c:f>
              <c:numCache>
                <c:formatCode>General</c:formatCode>
                <c:ptCount val="2"/>
                <c:pt idx="0">
                  <c:v>18614</c:v>
                </c:pt>
                <c:pt idx="1">
                  <c:v>30430</c:v>
                </c:pt>
              </c:numCache>
            </c:numRef>
          </c:val>
        </c:ser>
        <c:ser>
          <c:idx val="1"/>
          <c:order val="1"/>
          <c:tx>
            <c:strRef>
              <c:f>'Диаграмма 11'!$A$4</c:f>
              <c:strCache>
                <c:ptCount val="1"/>
                <c:pt idx="0">
                  <c:v>начислено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5.0459868986964867E-3"/>
                  <c:y val="-0.23491555403400663"/>
                </c:manualLayout>
              </c:layout>
              <c:tx>
                <c:rich>
                  <a:bodyPr/>
                  <a:lstStyle/>
                  <a:p>
                    <a:r>
                      <a:rPr lang="ru-RU" b="1"/>
                      <a:t>367323</a:t>
                    </a:r>
                    <a:endParaRPr lang="ru-RU"/>
                  </a:p>
                </c:rich>
              </c:tx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delete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45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'Диаграмма 11'!$B$1:$C$1</c:f>
              <c:numCache>
                <c:formatCode>General</c:formatCode>
                <c:ptCount val="2"/>
                <c:pt idx="0">
                  <c:v>2015</c:v>
                </c:pt>
                <c:pt idx="1">
                  <c:v>2016</c:v>
                </c:pt>
              </c:numCache>
            </c:numRef>
          </c:cat>
          <c:val>
            <c:numRef>
              <c:f>'Диаграмма 11'!$B$4:$C$4</c:f>
              <c:numCache>
                <c:formatCode>General</c:formatCode>
                <c:ptCount val="2"/>
                <c:pt idx="0">
                  <c:v>367323</c:v>
                </c:pt>
                <c:pt idx="1">
                  <c:v>758812</c:v>
                </c:pt>
              </c:numCache>
            </c:numRef>
          </c:val>
        </c:ser>
        <c:ser>
          <c:idx val="2"/>
          <c:order val="2"/>
          <c:tx>
            <c:strRef>
              <c:f>'Диаграмма 11'!$A$5</c:f>
              <c:strCache>
                <c:ptCount val="1"/>
              </c:strCache>
            </c:strRef>
          </c:tx>
          <c:spPr>
            <a:solidFill>
              <a:srgbClr val="1F497D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45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'Диаграмма 11'!$B$1:$C$1</c:f>
              <c:numCache>
                <c:formatCode>General</c:formatCode>
                <c:ptCount val="2"/>
                <c:pt idx="0">
                  <c:v>2015</c:v>
                </c:pt>
                <c:pt idx="1">
                  <c:v>2016</c:v>
                </c:pt>
              </c:numCache>
            </c:numRef>
          </c:cat>
          <c:val>
            <c:numRef>
              <c:f>'Диаграмма 11'!$B$5:$C$5</c:f>
              <c:numCache>
                <c:formatCode>General</c:formatCode>
                <c:ptCount val="2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21876480"/>
        <c:axId val="121878016"/>
      </c:barChart>
      <c:catAx>
        <c:axId val="1218764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187801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21878016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1876480"/>
        <c:crosses val="autoZero"/>
        <c:crossBetween val="between"/>
      </c:valAx>
      <c:spPr>
        <a:noFill/>
        <a:ln w="12700">
          <a:solidFill>
            <a:srgbClr val="FFFFFF"/>
          </a:solidFill>
          <a:prstDash val="solid"/>
        </a:ln>
      </c:spPr>
    </c:plotArea>
    <c:legend>
      <c:legendPos val="b"/>
      <c:legendEntry>
        <c:idx val="0"/>
        <c:delete val="1"/>
      </c:legendEntry>
      <c:legendEntry>
        <c:idx val="1"/>
        <c:txPr>
          <a:bodyPr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Times New Roman" pitchFamily="18" charset="0"/>
                <a:ea typeface="Arial Cyr"/>
                <a:cs typeface="Times New Roman" pitchFamily="18" charset="0"/>
              </a:defRPr>
            </a:pPr>
            <a:endParaRPr lang="ru-RU"/>
          </a:p>
        </c:txPr>
      </c:legendEntry>
      <c:layout>
        <c:manualLayout>
          <c:xMode val="edge"/>
          <c:yMode val="edge"/>
          <c:x val="0.28669129414777245"/>
          <c:y val="0.69967252060972052"/>
          <c:w val="0.49278625681115545"/>
          <c:h val="7.8519087553080236E-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10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45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0.11373</cdr:x>
      <cdr:y>0.67686</cdr:y>
    </cdr:from>
    <cdr:to>
      <cdr:x>0.21361</cdr:x>
      <cdr:y>0.84334</cdr:y>
    </cdr:to>
    <cdr:sp macro="" textlink="">
      <cdr:nvSpPr>
        <cdr:cNvPr id="46081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592496" y="6108593"/>
          <a:ext cx="517536" cy="150161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w="1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cdr:spPr>
      <cdr:txBody>
        <a:bodyPr xmlns:a="http://schemas.openxmlformats.org/drawingml/2006/main" vertOverflow="clip" wrap="square" lIns="18288" tIns="0" rIns="0" bIns="0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endParaRPr lang="ru-RU"/>
        </a:p>
      </cdr:txBody>
    </cdr:sp>
  </cdr:relSizeAnchor>
  <cdr:relSizeAnchor xmlns:cdr="http://schemas.openxmlformats.org/drawingml/2006/chartDrawing">
    <cdr:from>
      <cdr:x>0.38427</cdr:x>
      <cdr:y>0.7057</cdr:y>
    </cdr:from>
    <cdr:to>
      <cdr:x>0.78087</cdr:x>
      <cdr:y>0.78397</cdr:y>
    </cdr:to>
    <cdr:sp macro="" textlink="">
      <cdr:nvSpPr>
        <cdr:cNvPr id="46083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282727" y="4438650"/>
          <a:ext cx="2355948" cy="49226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w="1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r>
            <a:rPr lang="ru-RU"/>
            <a:t>                            </a:t>
          </a:r>
          <a:r>
            <a:rPr lang="ru-RU">
              <a:latin typeface="Times New Roman" pitchFamily="18" charset="0"/>
              <a:cs typeface="Times New Roman" pitchFamily="18" charset="0"/>
            </a:rPr>
            <a:t>недоимка</a:t>
          </a:r>
        </a:p>
      </cdr:txBody>
    </cdr:sp>
  </cdr:relSizeAnchor>
  <cdr:relSizeAnchor xmlns:cdr="http://schemas.openxmlformats.org/drawingml/2006/chartDrawing">
    <cdr:from>
      <cdr:x>0.69797</cdr:x>
      <cdr:y>0.16596</cdr:y>
    </cdr:from>
    <cdr:to>
      <cdr:x>0.83473</cdr:x>
      <cdr:y>0.22593</cdr:y>
    </cdr:to>
    <cdr:sp macro="" textlink="">
      <cdr:nvSpPr>
        <cdr:cNvPr id="46084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609975" y="1495425"/>
          <a:ext cx="707311" cy="54035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w="1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cdr:spPr>
      <cdr:txBody>
        <a:bodyPr xmlns:a="http://schemas.openxmlformats.org/drawingml/2006/main" vertOverflow="clip" wrap="square" lIns="36576" tIns="27432" rIns="36576" bIns="27432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1600" b="1"/>
            <a:t>758812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2017-03-30T10:43:00Z</dcterms:created>
  <dcterms:modified xsi:type="dcterms:W3CDTF">2017-03-30T10:46:00Z</dcterms:modified>
</cp:coreProperties>
</file>